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C300B8" w:rsidRDefault="00C4345F" w:rsidP="004863A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00B8">
        <w:rPr>
          <w:rFonts w:ascii="Times New Roman" w:hAnsi="Times New Roman"/>
          <w:b/>
          <w:sz w:val="28"/>
          <w:szCs w:val="28"/>
        </w:rPr>
        <w:t>«</w:t>
      </w:r>
      <w:r w:rsidR="00C300B8" w:rsidRPr="00C300B8">
        <w:rPr>
          <w:rFonts w:ascii="Times New Roman" w:hAnsi="Times New Roman"/>
          <w:b/>
          <w:sz w:val="28"/>
          <w:szCs w:val="28"/>
        </w:rPr>
        <w:t>Организация инвестиционно-строительных процессов</w:t>
      </w:r>
      <w:r w:rsidRPr="00C300B8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E609C" w:rsidRPr="006F2F63" w:rsidTr="00491EB2">
        <w:trPr>
          <w:trHeight w:val="299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 w:colFirst="0" w:colLast="3"/>
            <w:r w:rsidRPr="008E609C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379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09C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Методология инвестиций в строительство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21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09C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327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09C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21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09C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21"/>
        </w:trPr>
        <w:tc>
          <w:tcPr>
            <w:tcW w:w="673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E609C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8E609C" w:rsidRPr="008E609C" w:rsidRDefault="008E609C" w:rsidP="008E609C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E609C">
              <w:rPr>
                <w:rFonts w:ascii="Times New Roman" w:hAnsi="Times New Roman" w:cs="Times New Roman"/>
                <w:sz w:val="22"/>
                <w:szCs w:val="22"/>
              </w:rPr>
              <w:t>Инновации в строительстве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E6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09C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8E609C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5" w:type="dxa"/>
            <w:vAlign w:val="center"/>
          </w:tcPr>
          <w:p w:rsidR="008E609C" w:rsidRPr="008E609C" w:rsidRDefault="008E609C" w:rsidP="008E60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E609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0" w:type="dxa"/>
            <w:vAlign w:val="center"/>
          </w:tcPr>
          <w:p w:rsidR="008E609C" w:rsidRPr="00C4345F" w:rsidRDefault="008E609C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8E609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300B8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FE75-6F6F-4005-87F5-D822D1A7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2018-10-22T12:53:00Z</dcterms:created>
  <dcterms:modified xsi:type="dcterms:W3CDTF">2018-10-22T12:56:00Z</dcterms:modified>
</cp:coreProperties>
</file>